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3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COLLEGIO DEI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3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DELL’ISTITUTO 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3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EVA GIOIA DEL COLLE-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3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SAMMICHELE DI BARI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3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candidatura per il conferimento dell’incarico di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funzione strumentale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a. s. 202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_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.........l..........sottoscritt...................................................................................................................................................docente in servizio presso questo Istituto, essendo in possesso dei seguenti requisiti richiesti per l’accesso alla domanda per le Funzioni Strumentali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 H I E D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dell’art. 30 del C.C.N.L. del 24.7.2003, sulla base di quanto deliberato dal Collegio Docenti, l'assegnazione della 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funzione strumentale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relativamente all'area: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  <w:rtl w:val="0"/>
        </w:rPr>
        <w:t xml:space="preserve">(porre una X sull’area scelta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"/>
        <w:tblW w:w="1035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4"/>
        <w:gridCol w:w="8302"/>
        <w:tblGridChange w:id="0">
          <w:tblGrid>
            <w:gridCol w:w="2054"/>
            <w:gridCol w:w="8302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AGGIORNAMENTO DOCUMENTI D’ISTITUTO E VALUTAZIONE DEL SERVIZIO SCOLASTICO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predisposizione/aggiornamento e diffusione del PTOF, in collaborazione con le altre FFSS e con ruolo di coordinamento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redazione/aggiornamento del RAV, previa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gestione delle attività di autoanalisi d’Istituto per raccogliere dati ed evidenze riguardo ai processi messi in atto, ai risultati prodotti (esiti formativi) e al grado di soddisfazione raggiunto, con particolare riferimento alle priorità, ai punti di forza e di debolezza, per pianificare ipotesi di miglioramento,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 collaborazione con le altre FFSS e con ruolo di coordinamento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elaborazione/aggiornamento del PdM, attraverso attività di monitoraggio, verifica e valutazione delle azioni previste dallo stesso e inserite nel PTOF, in collaborazione con le altre FFSS e con ruolo di coordinamento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elaborazione/aggiornamento del documento di Rendicontazione sociale, in collaborazione con le altre FFSS e con ruolo di coordinamento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della revisione/aggiornamento del curricolo verticale di Istituto in riferimento alle 8 competenze chiave europee, in collaborazione con i coordinatori dei dipartimenti e con la FS “orientamento e continuità” (per promozione del raccordo tra i gradi di scuola del 1° ciclo)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delle proposte per la definizione di una didattica curricolare innovativa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 la collaborazione dell’animatore digitale e del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team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l’innovazione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implementazione di strumenti di valutazione in relazione alle attività curricolari ed extracurricolari, in collaborazione con i dipartimenti e con i diversi organi collegiali e gruppi di lavoro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predisposizione di percorsi di analisi dei processi e delle azioni attivati nell’ottica del miglioramento continuo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azione di sostegno operativo per i docenti referenti di iniziative progettuali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delle discipline e della progettazione curricolare ed extracurricolare, in collaborazione con i dipartimenti e con i diversi organi collegiali e gruppi di lavoro, in collaborazione con Area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di materiali per la divulgazione del PTOF alle famiglie: versione ridotta del PTOF per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open day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per le assemblee dei genitori dei nuovi iscritti, locandine, inviti, con la collaborazione del team dell’innovazione digitale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i dipartimenti e con i diversi organi collegiali e gruppi di lavoro, stesura del protocollo di valutazione (individuazione e predisposizione delle modalità di verifica, correzione e sviluppo delle attività curricolari previste dal PTOF)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dei dati sulla valutazione e analisi comparativa dei risultati tra prove strutturate interne comuni, prove INValSI e risultati Esami di Stato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gestione delle attività necessarie all’espletamento e al monitoraggio delle prove comuni (compiti di realtà/prove per classi parallele) per tutte le classi della scuola primaria e della SSIG e rendicontazione dei risultati, in collaborazione con i consigli di interclasse e di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valutazione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dei vari servizi offerti dall’istituzione scolastica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redazione di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report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cura degli adempimenti ministeriali (questionari, indagini, rilevazione di dati sull’organizzazione)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di monitoraggio, valutazione e coordinamento del NIV ai fini dell’elaborazione di: RAV, PdM, PTOF e Rendicontazione sociale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283"/>
              <w:jc w:val="left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referente Educazione civica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SOSTEGNO AL LAVORO E ALLA FORMAZIONE DEI     DOCENTI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supporto ai docenti nell’uso del registro digitale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1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collaborazione con la Segreteria nella distribuzione delle credenziali del sito/del registro elettronico ai docenti e alle famiglie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supporto e assistenza informatica nell’uso del registro elettronico in fase di scrutini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dei criteri per l’adozione di testi cartacei e didattici (anche in formato digitale),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 la collaborazione dell’animatore digitale e del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team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l’innovazione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collaborazione con i coordinatori di interclasse e di classe e con la segreteria didattica nella raccolta dei dati sui libri di testo adottati e nella registrazione delle adozioni sulla piattaforma dell’AIE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1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animatore digitale e referente del sito: cura dell’archivio didattico e diffusione tramite e-mail e/o mediante pubblicazione sul sito web istituzionale dei materiali informativi di particolare rilevanza per la scuola in raccordo con il DS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1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costituzione di un archivio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online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dei prodotti didattici dell’Istituto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dei bisogni formativi di tutto il personale scolastico; stesura, coordinamento e gestione del Piano triennale di formazione e aggiornamento del personale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animatore digitale: diffusione dell’innovazione digitale nell’ambito delle azioni previste dal PTOF e delle attività del Piano Nazionale Scuola Digitale (PNSD)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coordinamento delle relative azioni di formazione (laboratori formativi, sensibilizzazione alla partecipazione ad attività formative, ecc.) e diffusione di informazioni ai docenti inerenti corsi di formazione sulle nuove tecnologie (LIM, programmi innovativi, WIFI…)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predisposizione/aggiornamento della modulistica per docenti e famiglie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collaborazione con DS e DSGA, con docenti collaboratori e docenti tutti per favorire la realizzazione delle attività previste dal PTOF e in particolare dal Piano triennale della formazione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di proposte di aggiornamento al Regolamento di disciplina alunni e al Patto educativo di corresponsabilità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7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azione promozionale delle iniziative poste in essere dall’Istituto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7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uno stile di comunicazione e di collaborazione costruttivo con e tra docenti e con l’utenza esterna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referenti di plesso, attività di accoglienza per tutti i nuovi docenti al momento del loro ingresso in servizio, curando la trasmissione delle informazioni essenziali sull’organizzazione e sul funzionamento dell’Istituto e guidando nella consultazione del sito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delle attività previste dal percorso di formazione nel periodo annuale di prova in servizio del personale docente neoassunto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INCLUSIONE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pedagogico, organizzativo e di supervisione professionale nell’area di 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partecipazione, coordinamento e gestione del Gruppo di Lavoro Inclusione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partecipazione, coordinamento e gestione dei GLO, in assenza e su delega del DS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ura dei rapporti con le famiglie e con gli enti esterni in tema di disagio socio-culturale e disabilità (ASL, USP, Comune)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ilevazione alunni stranieri e alunni con BES presenti nella scuola e coordinamento degli interventi in loro favore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accolta e documentazione degli interventi didattico-educativi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accoglienza dei nuovi docenti specializzati e 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oordinamento degli insegnanti di sostegno di tutto l’Istituto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condivisione nuove disposizioni legislative,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consulenza e supporto ai colleghi sulle strategie/metodologie di gestione delle classi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della stesura, della revisione, dell’aggiornamento e della verifica dei PEI e dei PDP (e della relativa modulistica)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di una proposta di PI (Piano per l’inclusione, ex PAI) riferito a tutti gli alunni con BES, da redigere al termine di ogni anno scolastico (entro il mese di giugno), su indicazioni del DS e nell’ambito del GLI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e organizzazione degli interventi degli educatori (se presenti) all’interno della scuola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interventi connessi alla prevenzione degli abbandoni e della dispersione scolastica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monitoraggio e rilevazione periodica (inizio, metà, fine anno scolastico) delle situazioni di fragilità e delle problematiche all’interno dei diversi plessi che compongono l’Istituto, al fine di avere chiara lettura dei bisogni e sinergica attivazione di risorse disponibili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divulgazione delle iniziative relative all'integrazione (convegni, formazioni, ecc.) e definizione dei progetti per specifiche esigenze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FS “orientamento - continuità”: promozione di attività in favore della continuità tra i diversi gradi scolastici e raccordo tra i vari docenti di sostegno e tra docenti di sostegno e docenti curricolari, nel caso di alunni certificati, per garantire continuità educativa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7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raccolta di informazione sul bambino/ragazzo, sul percorso scolastico e sulla sua biografia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azioni che agevolino l’evoluzione del percorso formativo globale degli alunni con BES in condivisione e cooperazione tra scuola, famiglia, ASL ed EELL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accolta e diffusione di materiali e informazioni; promozione della formazione per implementare la cultura dell’inclusione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delle azioni relative ai DSA di Istituto, partecipazione alla formazione specifica, divulgazione di informazioni e materiali 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romozione e monitoraggio dei progetti attivati nell’istituto, inerenti all’inclusione scolastica e al benessere degli studenti, in particolare degli alunni disabili e in collaborazione con i docenti di sostegno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della gestione dei fascicoli personali degli alunni con BES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delle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di rilevazione precoce delle difficoltà di apprendimento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5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revisione periodica del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protocollo d’inclusione alunni stranieri e alunni con BES in base alla casistica d’interesse, promozione e diffusione dello stesso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animatore digitale: 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ura della diffusione delle ICT per l’inclusione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ilevazione, monitoraggio e valutazione del livello di inclusività della scuola e suggerimenti per un’inclusione di qualità (laboratori linguistici e interventi individualizzati, in collaborazione con i dipartimenti e con i diversi organi collegiali e gruppi di lavoro)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attività interculturali di Istituto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0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gestione dei colloqui con la famiglia alla presenza del mediatore culturale ed esperti per la rilevazione delle competenze e per compilare il profilo scolastico in entrata degli alunni stranieri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supporto al DS nella formazione delle classi e nell’assegnazione degli alunni disabili ai docenti di sostegno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7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supporto ai docenti nella gestione delle attività educative e didattiche finalizzate all'integrazione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322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azioni volte a favorire una positiva scolarizzazione dei bambini non italofoni, per garantire pari opportunità e per evitare situazioni disadattanti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individuazione di azioni per realizzare una collaborazione costruttiva con gli Enti del territorio preposti ad occuparsi del disagio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322"/>
              <w:jc w:val="both"/>
              <w:rPr>
                <w:b w:val="0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e gestione del Gruppo di Lavoro Inclusione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1938"/>
              </w:tabs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36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CONTINUITA’ E ORIENTAMENTO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la FS “inclusione”: monitoraggio ed elaborazione dei dati sulla dispersione scolastica (primaria e Scuola secondaria di I grado) e dei risultati degli studenti nel passaggio da un ordine di scuola a un altro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4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e coordinamento della rilevazione degli esiti a distanza degli ex studenti presso le scuole secondarie di secondo grado e cura della documentazione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e coordinamento degli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open day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i docenti infanzia, con i docenti classi V primaria, con i docenti Secondaria di Primo e Secondo Grado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 di azioni di valorizzazione della continuità didattica e formativa tra le scuole dei diversi ordini che fanno parte dell’Istituto comprensivo, favorendo il passaggio delle informazioni, il confronto e le occasioni di progettazione comune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collaborazione con le altre FFSS, cura del raccordo con la scuola dell’infanzia, primaria e secondaria di I grado per la costruzione del curricolo verticale, in vista della certificazione delle competenze in uscita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progettazione e coordinamento delle attività di didattica orientativa in tutte le classi del triennio della SSIG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di incontri formativi e/o informativi per le famiglie al fine di coinvolgere efficacemente i genitori nel processo di scelta dei propri figli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programmazione di azioni di supporto per allievi in difficoltà o a rischio insuccesso scolastico, con l’intervento di esperti esterni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283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gestione dei contatti (anche da remoto) con i responsabili dell’orientamento delle scuole del territorio per reperire informazioni sui curricoli e l’organizzazione dei vari istituti;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6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 delle visite (anche virtuali e in videoconferenza) degli alunni agli Istituti secondari di II grado e/o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distribuzione di materiale informativo fornito dalle stesse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2" w:right="52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informazione e consulenza agli studenti per la scelta della scuola secondaria di secondo grado e promozione di percorsi di orientamento per la conoscenza e consapevolezza del sé per i tre ordini di scuola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55" w:hanging="284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gestione dei contatti con i docenti delle scuole secondarie di secondo grado per azioni di continuità didattica tra classi ponte e per eventuali percorsi di alternanza scuola/lavoro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55" w:hanging="284"/>
              <w:jc w:val="both"/>
              <w:rPr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coordinamento dell’auto-orientamento degli studenti, con la collaborazione dei docenti di lettere mediante la somministrazione di schede e questionari e successivo monitoraggio del percorso mediante apposite griglie di osservazione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53" w:hanging="284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progettazione di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azioni di coordinamento delle attività d’informazione, di orientamento e di continuità in ingresso e in uscita, in accordo con i coordinatori dei singoli consigli di classe, per favorire l’inserimento nella scuola primaria e secondaria di I grado e la socializzazione dei nuovi alunni e in particolare degli alunni con disabilità, o provenienti da culture diverse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56" w:hanging="284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promozione/organizzazione di progetti ponte tra diversi gradi scolastici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53" w:hanging="284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oordinamento e calendarizzazione di incontri tra docenti di scuola dell’infanzia e primaria e docenti di scuola primaria e secondaria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170" w:hanging="284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oordinamento e gestione di eventuali progetti con reti di scuole</w:t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La/Il sottoscritta/o dichiara i seguenti titoli: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31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8"/>
        <w:gridCol w:w="2651"/>
        <w:gridCol w:w="2652"/>
        <w:tblGridChange w:id="0">
          <w:tblGrid>
            <w:gridCol w:w="4028"/>
            <w:gridCol w:w="2651"/>
            <w:gridCol w:w="265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Indicare il punteggio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1,5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con lode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Seconda laurea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Ruolo conseguito tramite concorso a cattedra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Ruolo conseguito tramite corso abilitante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Ruolo conseguito tramite SSIS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Incarico/i FFSS ricoperti in anni precedenti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punto per ogni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Valutatore in corsi PON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Supporto in corsi PON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Tutor in corsi PON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0,5 punto per ogni incarico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Frequenza master di I /II livello (60 CFU 1500 ore) con durata più di 1 anno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punto per ogni master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Frequenza master di I/II livello (60 CFU 1500 ore) con durata fino a 1 anno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master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Frequenza perfezionamenti annuali (60 CFU 1500 ore)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perfezionamento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Certificazioni informatiche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certificazione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Certificazione linguistica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certificazione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Pubblicazioni con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ogni pubblicazione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Totale………………..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allega CV in formato europeo 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6372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(La domanda va inviata via e-mail in segreteria a </w:t>
      </w:r>
      <w:hyperlink r:id="rId6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baic80500v@istruzione.it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entro le ore 12.00 del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/09/202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Farà fede numero e data di protocollo)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74" w:line="276" w:lineRule="auto"/>
        <w:ind w:left="2350" w:right="239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PROGETTO FUNZIONE STRUMENTALE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00"/>
        </w:tabs>
        <w:spacing w:after="200" w:before="156" w:line="276" w:lineRule="auto"/>
        <w:ind w:left="2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Denominazione Funzione Strumentale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115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Premessa (rilevazione dei bisogni e idea generale)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0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misurabili e risultati attesi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70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83"/>
        <w:gridCol w:w="4687"/>
        <w:tblGridChange w:id="0">
          <w:tblGrid>
            <w:gridCol w:w="4983"/>
            <w:gridCol w:w="4687"/>
          </w:tblGrid>
        </w:tblGridChange>
      </w:tblGrid>
      <w:tr>
        <w:trPr>
          <w:cantSplit w:val="0"/>
          <w:trHeight w:val="102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47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generali di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479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misurabili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0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Fasi e tempi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81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1240"/>
        <w:gridCol w:w="1260"/>
        <w:gridCol w:w="1260"/>
        <w:gridCol w:w="1260"/>
        <w:gridCol w:w="1220"/>
        <w:gridCol w:w="1200"/>
        <w:gridCol w:w="1241"/>
        <w:tblGridChange w:id="0">
          <w:tblGrid>
            <w:gridCol w:w="1200"/>
            <w:gridCol w:w="1240"/>
            <w:gridCol w:w="1260"/>
            <w:gridCol w:w="1260"/>
            <w:gridCol w:w="1260"/>
            <w:gridCol w:w="1220"/>
            <w:gridCol w:w="1200"/>
            <w:gridCol w:w="1241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29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0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Ottobre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0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2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Dic/Genn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4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Febbraio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2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4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01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0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Componenti e compiti della Commissione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168275</wp:posOffset>
                </wp:positionV>
                <wp:extent cx="6249035" cy="127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265" l="1020" r="10861" t="265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168275</wp:posOffset>
                </wp:positionV>
                <wp:extent cx="6249035" cy="1270"/>
                <wp:effectExtent b="0" l="0" r="0" t="0"/>
                <wp:wrapTopAndBottom distB="0" dist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1745614</wp:posOffset>
                </wp:positionV>
                <wp:extent cx="6249035" cy="127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2749" l="1020" r="10861" t="2749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1745614</wp:posOffset>
                </wp:positionV>
                <wp:extent cx="6249035" cy="127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1919605</wp:posOffset>
                </wp:positionV>
                <wp:extent cx="6249035" cy="127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3023" l="1020" r="10861" t="3023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1919605</wp:posOffset>
                </wp:positionV>
                <wp:extent cx="6249035" cy="127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343535</wp:posOffset>
                </wp:positionV>
                <wp:extent cx="6249035" cy="127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541" l="1020" r="10861" t="541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343535</wp:posOffset>
                </wp:positionV>
                <wp:extent cx="6249035" cy="1270"/>
                <wp:effectExtent b="0" l="0" r="0" t="0"/>
                <wp:wrapTopAndBottom distB="0" dist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518795</wp:posOffset>
                </wp:positionV>
                <wp:extent cx="6248400" cy="127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270"/>
                        </a:xfrm>
                        <a:custGeom>
                          <a:ahLst/>
                          <a:rect b="817" l="1020" r="10860" t="817"/>
                          <a:pathLst>
                            <a:path h="0"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518795</wp:posOffset>
                </wp:positionV>
                <wp:extent cx="6248400" cy="1270"/>
                <wp:effectExtent b="0" l="0" r="0" t="0"/>
                <wp:wrapTopAndBottom distB="0" dist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694055</wp:posOffset>
                </wp:positionV>
                <wp:extent cx="6249035" cy="127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1093" l="1020" r="10861" t="1093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694055</wp:posOffset>
                </wp:positionV>
                <wp:extent cx="6249035" cy="1270"/>
                <wp:effectExtent b="0" l="0" r="0" t="0"/>
                <wp:wrapTopAndBottom distB="0" dist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869315</wp:posOffset>
                </wp:positionV>
                <wp:extent cx="6249035" cy="127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1369" l="1020" r="10861" t="1369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869315</wp:posOffset>
                </wp:positionV>
                <wp:extent cx="6249035" cy="1270"/>
                <wp:effectExtent b="0" l="0" r="0" t="0"/>
                <wp:wrapTopAndBottom distB="0" dist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1044575</wp:posOffset>
                </wp:positionV>
                <wp:extent cx="6248400" cy="127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270"/>
                        </a:xfrm>
                        <a:custGeom>
                          <a:ahLst/>
                          <a:rect b="1645" l="1020" r="10860" t="1645"/>
                          <a:pathLst>
                            <a:path h="0"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1044575</wp:posOffset>
                </wp:positionV>
                <wp:extent cx="6248400" cy="1270"/>
                <wp:effectExtent b="0" l="0" r="0" t="0"/>
                <wp:wrapTopAndBottom distB="0" dist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1219835</wp:posOffset>
                </wp:positionV>
                <wp:extent cx="6249670" cy="127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670" cy="1270"/>
                        </a:xfrm>
                        <a:custGeom>
                          <a:ahLst/>
                          <a:rect b="1921" l="1020" r="10862" t="1921"/>
                          <a:pathLst>
                            <a:path h="0" w="9842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1219835</wp:posOffset>
                </wp:positionV>
                <wp:extent cx="6249670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67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1395095</wp:posOffset>
                </wp:positionV>
                <wp:extent cx="6249035" cy="127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035" cy="1270"/>
                        </a:xfrm>
                        <a:custGeom>
                          <a:ahLst/>
                          <a:rect b="2197" l="1020" r="10861" t="2197"/>
                          <a:pathLst>
                            <a:path h="0" w="9841">
                              <a:moveTo>
                                <a:pt x="0" y="0"/>
                              </a:moveTo>
                              <a:lnTo>
                                <a:pt x="9841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1395095</wp:posOffset>
                </wp:positionV>
                <wp:extent cx="6249035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903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1570355</wp:posOffset>
                </wp:positionV>
                <wp:extent cx="6248400" cy="127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270"/>
                        </a:xfrm>
                        <a:custGeom>
                          <a:ahLst/>
                          <a:rect b="2473" l="1020" r="10860" t="2473"/>
                          <a:pathLst>
                            <a:path h="0"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cap="flat" cmpd="sng" w="6096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1570355</wp:posOffset>
                </wp:positionV>
                <wp:extent cx="6248400" cy="127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155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collaborazioni esterne da attivare: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0"/>
          <w:tab w:val="left" w:leader="none" w:pos="4842"/>
        </w:tabs>
        <w:spacing w:after="200" w:before="102" w:line="276" w:lineRule="auto"/>
        <w:ind w:left="23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0"/>
          <w:tab w:val="left" w:leader="none" w:pos="4840"/>
        </w:tabs>
        <w:spacing w:after="200" w:before="114" w:line="276" w:lineRule="auto"/>
        <w:ind w:left="23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0"/>
          <w:tab w:val="left" w:leader="none" w:pos="4840"/>
        </w:tabs>
        <w:spacing w:after="200" w:before="113" w:line="276" w:lineRule="auto"/>
        <w:ind w:left="23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227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Materiali e costi: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45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282"/>
        <w:gridCol w:w="3402"/>
        <w:gridCol w:w="3261"/>
        <w:tblGridChange w:id="0">
          <w:tblGrid>
            <w:gridCol w:w="3282"/>
            <w:gridCol w:w="3402"/>
            <w:gridCol w:w="3261"/>
          </w:tblGrid>
        </w:tblGridChange>
      </w:tblGrid>
      <w:tr>
        <w:trPr>
          <w:cantSplit w:val="0"/>
          <w:trHeight w:val="3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Materiali di consumo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Materiali inventariabili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Altre spese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0" w:line="240" w:lineRule="auto"/>
        <w:ind w:left="960" w:right="0" w:hanging="36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Monitoraggi e verifiche: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85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999"/>
        <w:gridCol w:w="3584"/>
        <w:gridCol w:w="3302"/>
        <w:tblGridChange w:id="0">
          <w:tblGrid>
            <w:gridCol w:w="2999"/>
            <w:gridCol w:w="3584"/>
            <w:gridCol w:w="3302"/>
          </w:tblGrid>
        </w:tblGridChange>
      </w:tblGrid>
      <w:tr>
        <w:trPr>
          <w:cantSplit w:val="0"/>
          <w:trHeight w:val="3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80" w:right="118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372" w:right="-69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71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879600" cy="4445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9600" cy="4445"/>
                          <a:chOff x="0" y="0"/>
                          <a:chExt cx="2960" cy="7"/>
                        </a:xfrm>
                      </wpg:grpSpPr>
                      <wps:wsp>
                        <wps:cNvSpPr/>
                        <wps:spPr>
                          <a:xfrm>
                            <a:off x="0" y="3"/>
                            <a:ext cx="2959" cy="0"/>
                          </a:xfrm>
                          <a:prstGeom prst="line"/>
                          <a:solidFill>
                            <a:srgbClr val="FFFFFF"/>
                          </a:solidFill>
                          <a:ln cap="flat" cmpd="sng" w="4082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879600" cy="444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9600" cy="4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672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40" w:w="11900" w:orient="portrait"/>
          <w:pgMar w:bottom="280" w:top="740" w:left="900" w:right="86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(firma)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"/>
        </w:tabs>
        <w:spacing w:after="0" w:before="15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Noto Sans Symbols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960" w:hanging="368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877" w:hanging="368.00000000000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95" w:hanging="368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713" w:hanging="36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631" w:hanging="368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549" w:hanging="368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467" w:hanging="367.999999999999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7385" w:hanging="368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8303" w:hanging="368"/>
      </w:pPr>
      <w:rPr>
        <w:vertAlign w:val="baseline"/>
      </w:rPr>
    </w:lvl>
  </w:abstractNum>
  <w:abstractNum w:abstractNumId="3">
    <w:lvl w:ilvl="0">
      <w:start w:val="4"/>
      <w:numFmt w:val="decimal"/>
      <w:lvlText w:val="%1."/>
      <w:lvlJc w:val="left"/>
      <w:pPr>
        <w:ind w:left="960" w:hanging="368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877" w:hanging="368.00000000000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95" w:hanging="368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713" w:hanging="36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631" w:hanging="368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549" w:hanging="368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467" w:hanging="367.999999999999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7385" w:hanging="368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8303" w:hanging="368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hyperlink" Target="mailto:baic80500v@istruzione.it" TargetMode="External"/><Relationship Id="rId7" Type="http://schemas.openxmlformats.org/officeDocument/2006/relationships/image" Target="media/image12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